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III Nr. 0190/1997 vom 22. Oktober 1997</w:t>
      </w:r>
    </w:p>
    <w:p>
      <w:r>
        <w:t>ZH Baurekursgericht, 1997-10-22, DE</w:t>
      </w:r>
    </w:p>
    <w:p>
      <w:r>
        <w:rPr>
          <w:b/>
        </w:rPr>
        <w:t xml:space="preserve">Quelle: </w:t>
      </w:r>
      <w:r>
        <w:t>https://mcp.opencaselaw.ch/entscheid/zh_baurekursgericht_BRKE III Nr. 0190_1997</w:t>
      </w:r>
    </w:p>
    <w:p>
      <w:r>
        <w:t>FR: ZH_BAUREKURSGERICHT BRKE III Nr. 0190/1997 du 22 octobre 1997</w:t>
      </w:r>
    </w:p>
    <w:p>
      <w:r>
        <w:t>IT: ZH_BAUREKURSGERICHT BRKE III Nr. 0190/1997 del 22 ottobre 1997</w:t>
      </w:r>
    </w:p>
    <w:p>
      <w:pPr>
        <w:pStyle w:val="Heading2"/>
      </w:pPr>
      <w:r>
        <w:t>Regeste</w:t>
      </w:r>
    </w:p>
    <w:p>
      <w:r>
        <w:t>Als bestehend gelten alle ortsfesten Anlagen, die vor dem 1. Januar 1985 errichtet wurden. Unter den Begriff der neuen Anlage fallen alle neu erstellten Anlagen sowie alle bestehenden Anlagen, die baulich oder betrieblich derart weitgehend verändert werden, dass das Alte gegenüber dem Neuen in lärmmässiger Hinsicht nur noch von untergeordneter Bedeutung ist. Die Belastungsgrenzwerte für Industrie- und Gewerbelärm (Anhang 6 LSV) sind auf die Emissionen von Gaststätten nicht anwendbar. Vielmehr ist einzelfallweise zu bestimmen, was als schädlich oder lästig zu gelten hat, wobei den Vollzugsbehörden bei der Beurteilung der Zumutbarkeit der Immissionen ein erheblicher Ermessensspielraum zusteht. Sodann ist in jedem Fall zu prüfen, ob das Vorsorgeprinzip noch weiter gehende Beschränkungen erfordere.</w:t>
      </w:r>
    </w:p>
    <w:p>
      <w:pPr>
        <w:pStyle w:val="Heading2"/>
      </w:pPr>
      <w:r>
        <w:t>Erwägungen</w:t>
      </w:r>
    </w:p>
    <w:p>
      <w:r>
        <w:rPr>
          <w:b/>
        </w:rPr>
        <w:t>E. 4</w:t>
      </w:r>
    </w:p>
    <w:p>
      <w:r>
        <w:t>Der Rekurs richtet sich gegen die Lärmemissionen dieser Gartenwirtschaft, die Bestandteil des bestehenden Gasthofes X ist. Gegenstand des vorliegenden Verfahrens bildet somit eine Baute bzw. Anlage, in der ein «gewerbliches» Unter- nehmen betrieben wird, das Lärmemissionen verursacht. Soweit die Emissionen nach aussen dringen (Aussenlärmemissionen), fallen sie in den Regelungsbereich der Lärmschutzverordnung (Art. 1 Abs. 2 lit. a LSV), während der Innenlärm nur teil- weise in der genannten Verordnung geregelt ist (vgl. Art. 1 Abs. 2 lit. d und Abs. 3 lit. a LSV). Somit handelt es sich bei der streitbetroffenen Gastwirtschaft um eine Anla- ge im Sinne von Art. 7 Abs. 7 des Bundesgesetzes über den Umweltschutz (USG) und Art. 2 Abs. 1 LSV, die den bundesrechtlichen Bestimmungen über den Lärm- schutz unterliegt. Entgegen der von der Vorinstanz geäusserten Auffassung wird das Bauvorhaben somit nicht bloss von den Bestimmungen des allgemeinen Polizei- rechts erfasst.</w:t>
      </w:r>
    </w:p>
    <w:p>
      <w:r>
        <w:rPr>
          <w:b/>
        </w:rPr>
        <w:t>E. 5</w:t>
      </w:r>
    </w:p>
    <w:p>
      <w:r>
        <w:t>Die Bestimmungen über den Umweltschutz sollen u.a. Menschen, Tiere, Pflanzen, ihre Lebensgemeinschaften und Lebensräume gegen schädliche oder läs- tige Einwirkungen schützen (Art. 1 Abs. 1 USG). Bei der Bestimmung der Anforde- rungen an die Begrenzung der Lärmemissionen knüpfen Umweltschutzgesetz und Lärmschutzverordnung an den Zeitpunkt der Erstellung der Anlage an. Während die Sanierung von Anlagen, die vor Inkrafttreten der vorgenannten Normen bereits be- standen hatten (sog. Altanlagen), nur angeordnet wird, wenn die Anlage wesentlich zur Überschreitung der Immissionsgrenzwerte beiträgt (Art. 13 Abs. 1 LSV), werden an die Erstellung von neuen Anlagen bzw. an die Änderung von bestehenden Anla- gen höhere Anforderungen gestellt. So dürfen die Lärmemissionen neuer Anlagen die Planungswerte grundsätzlich nicht überschreiten (Art. 25 Abs. 1 USG, Art. 7 Abs.</w:t>
      </w:r>
    </w:p>
    <w:p>
      <w:r>
        <w:t>- 2 - 1 lit. b LSV) und müssen wesentlich geänderte Anlagen die Immissionsgrenzwerte respektieren (Art. 8 Abs. 2 LSV). Bei untergeordneten Änderungen an bestehenden Anlagen sind die Lärmemissionen der neuen oder geänderten Anlageteile nur soweit zu begrenzen, als dies technisch und betrieblich möglich sowie wirtschaftlich tragbar ist (Art. 8 Abs. 1 LSV). Als bestehend gelten gemäss neuester Rechtsprechung des Bundesgerichts al- le Anlagen, die vor dem 1. Januar 1985 errichtet wurden (BGE 1 A.82/1996 vom 14. Juli 1997 in URP/DEP 1997 S. 484 ff.). Unter den Begriff der neuen Anlage fallen al- le neu erstellten Anlagen sowie alle bestehenden Anlagen, die baulich oder betrieb- lich derart weitgehend verändert werden, dass das Alte gegenüber dem Neuen in lärmmässiger Hinsicht nur noch von untergeordneter Bedeutung ist («übergewichti- ge Anlage»; vgl. dazu BGE 115 Ib 466) oder deren Zweck vollständig geändert wird (Art. 2 Abs. 2 LSV; zum Ganzen vgl. Walker in: URP/DEP 1994 S. 432 ff.). Vorliegend ist eine Erweiterung einer seit dem Jahre 1904 bestehenden und in den Jahren 1990/91 umgebauten Gastwirtschaft durch eine Gartenterrasse zu beur- teilen. Dabei handelt es sich um eine für die Aussenlärmbelastung relevante Ände- rung, weshalb das streitbetroffene Bauvorhaben als geänderte ortsfeste Anlage im Sinne von Art. 8 LSV zu qualifizieren ist. Da die Umnutzung zudem aller Voraussicht nach zu wahrnehmbar stärkeren Lärmimmissionen führen wird, ist die Änderung als wesentlich im Sinne von Art. 8 Abs. 2 LSV zu qualifizieren. Somit wären für die Beur- teilung der Aussenlärmemissionen an sich die Immissionsgrenzwerte massgebend (Art. 8 Abs. 2 LSV).</w:t>
      </w:r>
    </w:p>
    <w:p>
      <w:r>
        <w:rPr>
          <w:b/>
        </w:rPr>
        <w:t>E. 6</w:t>
      </w:r>
    </w:p>
    <w:p>
      <w:r>
        <w:t>Die Vollzugsbehörde beurteilt die Aussenlärmemissionen ortsfester Anlagen primär anhand der Belastungsgrenzwerte nach den Anhängen 3 bis 8 zur Lärm- schutzverordnung. Der Bundesrat hat in Anhang 6 zur Lärmschutzverordnung Belastungsgrenz- werte für Industrie- und Gewerbelärm festgesetzt. Wie das Bundesgericht wiederholt festgestellt hat, sind diese Lärmarten indessen auf typischen Industrie- und Gewer- belärm zugeschnitten und lassen sich nicht auf Gaststättenlärm übertragen. Dies im wesentlichen deshalb, weil der Gaststättenlärm überwiegend durch menschliches Verhalten verursacht wird, dessen Störwirkung sich nicht ohne weiteres mit demjeni- gen der Gewerbe- und Industrieanlagen im engeren Sinne vergleichen lässt. Abge- sehen davon, dass sich der dem menschlichen Lärm immanente Informationsgehalt, der sehr störend wirken kann, nicht mit Belastungsgrenzwerten erfassen lässt, müsste — bei allen methodologischen Bedenken gegenüber einem solchen Vorge- hen — das Störpotential aufgrund von breit angelegten soziopsychologischen Um- fragen ermittelt werden, was bis heute nicht geschehen ist. Überdies erscheint es als fraglich, ob der gemäss Anhang 6 zur Lärmschutzverordnung massgebliche Mitte- lungspegel die nach Art und Stärke sehr unterschiedlichen und unregelmässigen menschlichen Geräusche überhaupt adäquat erfassen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